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8F8E" w14:textId="15211CA4" w:rsidR="00B12A3F" w:rsidRPr="000B62B2" w:rsidRDefault="00B12A3F" w:rsidP="000B62B2">
      <w:pPr>
        <w:pStyle w:val="Heading1"/>
      </w:pPr>
      <w:r w:rsidRPr="000B62B2">
        <w:t>Red Flags Green Flags Activity Facilitator Guide</w:t>
      </w:r>
    </w:p>
    <w:p w14:paraId="20C17BF9" w14:textId="0B9AD21E" w:rsidR="00333FA9" w:rsidRPr="00333FA9" w:rsidRDefault="00333FA9" w:rsidP="00333FA9">
      <w:pPr>
        <w:rPr>
          <w:b/>
          <w:bCs/>
        </w:rPr>
      </w:pPr>
      <w:r w:rsidRPr="00333FA9">
        <w:rPr>
          <w:b/>
          <w:bCs/>
        </w:rPr>
        <w:t>Purpose</w:t>
      </w:r>
    </w:p>
    <w:p w14:paraId="39BDCA3C" w14:textId="77777777" w:rsidR="00333FA9" w:rsidRPr="00333FA9" w:rsidRDefault="00333FA9" w:rsidP="00333FA9">
      <w:pPr>
        <w:rPr>
          <w:b/>
          <w:bCs/>
        </w:rPr>
      </w:pPr>
      <w:r w:rsidRPr="00333FA9">
        <w:rPr>
          <w:b/>
          <w:bCs/>
        </w:rPr>
        <w:t>To help participants reflect on how they decide who to trust—both offline and online—by identifying positive signs (green flags) and warning signs (red flags).</w:t>
      </w:r>
    </w:p>
    <w:p w14:paraId="5BBC2185" w14:textId="77777777" w:rsidR="00333FA9" w:rsidRPr="00333FA9" w:rsidRDefault="00333FA9" w:rsidP="00333FA9">
      <w:pPr>
        <w:rPr>
          <w:b/>
          <w:bCs/>
        </w:rPr>
      </w:pPr>
      <w:r w:rsidRPr="00333FA9">
        <w:rPr>
          <w:b/>
          <w:bCs/>
        </w:rPr>
        <w:t>Materials Needed</w:t>
      </w:r>
    </w:p>
    <w:p w14:paraId="5B5EE154" w14:textId="77777777" w:rsidR="00333FA9" w:rsidRPr="00333FA9" w:rsidRDefault="00333FA9" w:rsidP="00333FA9">
      <w:pPr>
        <w:numPr>
          <w:ilvl w:val="0"/>
          <w:numId w:val="9"/>
        </w:numPr>
      </w:pPr>
      <w:r w:rsidRPr="00333FA9">
        <w:t>Flip chart or whiteboard</w:t>
      </w:r>
    </w:p>
    <w:p w14:paraId="61F73093" w14:textId="77777777" w:rsidR="00333FA9" w:rsidRPr="00333FA9" w:rsidRDefault="00333FA9" w:rsidP="00333FA9">
      <w:pPr>
        <w:numPr>
          <w:ilvl w:val="0"/>
          <w:numId w:val="9"/>
        </w:numPr>
      </w:pPr>
      <w:r w:rsidRPr="00333FA9">
        <w:t>Markers (red and green, if possible)</w:t>
      </w:r>
    </w:p>
    <w:p w14:paraId="630F682B" w14:textId="77777777" w:rsidR="00333FA9" w:rsidRPr="00333FA9" w:rsidRDefault="00333FA9" w:rsidP="00333FA9">
      <w:pPr>
        <w:rPr>
          <w:b/>
          <w:bCs/>
        </w:rPr>
      </w:pPr>
      <w:r w:rsidRPr="00333FA9">
        <w:rPr>
          <w:b/>
          <w:bCs/>
        </w:rPr>
        <w:t>Prep:</w:t>
      </w:r>
      <w:r w:rsidRPr="00333FA9">
        <w:rPr>
          <w:b/>
          <w:bCs/>
        </w:rPr>
        <w:br/>
      </w:r>
      <w:r w:rsidRPr="00333FA9">
        <w:t>Draw a vertical line to split the board into two columns</w:t>
      </w:r>
      <w:r w:rsidRPr="00333FA9">
        <w:rPr>
          <w:b/>
          <w:bCs/>
        </w:rPr>
        <w:t>:</w:t>
      </w:r>
    </w:p>
    <w:p w14:paraId="611C219F" w14:textId="77777777" w:rsidR="00333FA9" w:rsidRPr="00333FA9" w:rsidRDefault="00333FA9" w:rsidP="00333FA9">
      <w:pPr>
        <w:numPr>
          <w:ilvl w:val="0"/>
          <w:numId w:val="10"/>
        </w:numPr>
      </w:pPr>
      <w:r w:rsidRPr="00333FA9">
        <w:t>Left: Red Flags (Warning Signs)</w:t>
      </w:r>
    </w:p>
    <w:p w14:paraId="0F42AF1A" w14:textId="77777777" w:rsidR="00333FA9" w:rsidRPr="00333FA9" w:rsidRDefault="00333FA9" w:rsidP="00333FA9">
      <w:pPr>
        <w:numPr>
          <w:ilvl w:val="0"/>
          <w:numId w:val="10"/>
        </w:numPr>
      </w:pPr>
      <w:r w:rsidRPr="00333FA9">
        <w:t>Right: Green Flags (Positive Signs)</w:t>
      </w:r>
    </w:p>
    <w:p w14:paraId="5293ACC6" w14:textId="0B37DD22" w:rsidR="00333FA9" w:rsidRPr="00333FA9" w:rsidRDefault="00333FA9" w:rsidP="00333FA9">
      <w:pPr>
        <w:rPr>
          <w:b/>
          <w:bCs/>
        </w:rPr>
      </w:pPr>
      <w:r w:rsidRPr="00333FA9">
        <w:rPr>
          <w:b/>
          <w:bCs/>
        </w:rPr>
        <w:t>1. Introduction</w:t>
      </w:r>
      <w:r w:rsidR="00E04CDA">
        <w:rPr>
          <w:b/>
          <w:bCs/>
        </w:rPr>
        <w:t xml:space="preserve">: </w:t>
      </w:r>
      <w:r w:rsidRPr="00333FA9">
        <w:t>“Before we talk about trusting people online, let’s start with real life. Think about how you decide whether to trust someone—like a new friend or a shopkeeper. We all notice little signs that help us decide.”</w:t>
      </w:r>
    </w:p>
    <w:p w14:paraId="7A00ABF5" w14:textId="77777777" w:rsidR="00333FA9" w:rsidRPr="00333FA9" w:rsidRDefault="00333FA9" w:rsidP="00333FA9">
      <w:pPr>
        <w:rPr>
          <w:b/>
          <w:bCs/>
        </w:rPr>
      </w:pPr>
      <w:r w:rsidRPr="00333FA9">
        <w:rPr>
          <w:b/>
          <w:bCs/>
        </w:rPr>
        <w:t>2. Opening Discussion</w:t>
      </w:r>
    </w:p>
    <w:p w14:paraId="06D1DA8E" w14:textId="77777777" w:rsidR="00333FA9" w:rsidRPr="00333FA9" w:rsidRDefault="00333FA9" w:rsidP="00333FA9">
      <w:r w:rsidRPr="00333FA9">
        <w:t>Introduce the idea of green flags (positive signs) and red flags (warning signs), then ask:</w:t>
      </w:r>
    </w:p>
    <w:p w14:paraId="3BBA3980" w14:textId="34083AE1" w:rsidR="00333FA9" w:rsidRPr="00333FA9" w:rsidRDefault="00333FA9" w:rsidP="00333FA9">
      <w:r w:rsidRPr="00333FA9">
        <w:t>“What are some red and green flags you’re already aware of?”</w:t>
      </w:r>
      <w:r w:rsidRPr="00333FA9">
        <w:br/>
        <w:t>Record responses under the appropriate column on the board</w:t>
      </w:r>
      <w:r w:rsidR="00962F3D">
        <w:t xml:space="preserve"> or flipchart</w:t>
      </w:r>
      <w:r w:rsidRPr="00333FA9">
        <w:t>.</w:t>
      </w:r>
    </w:p>
    <w:p w14:paraId="723CBB03" w14:textId="77777777" w:rsidR="00333FA9" w:rsidRPr="00333FA9" w:rsidRDefault="00333FA9" w:rsidP="00333FA9">
      <w:r w:rsidRPr="00333FA9">
        <w:t>Use these prompts if needed:</w:t>
      </w:r>
    </w:p>
    <w:p w14:paraId="1EDF684A" w14:textId="77777777" w:rsidR="00333FA9" w:rsidRPr="00333FA9" w:rsidRDefault="00333FA9" w:rsidP="00333FA9">
      <w:pPr>
        <w:numPr>
          <w:ilvl w:val="0"/>
          <w:numId w:val="11"/>
        </w:numPr>
      </w:pPr>
      <w:r w:rsidRPr="00333FA9">
        <w:t>Do they respect your boundaries?</w:t>
      </w:r>
    </w:p>
    <w:p w14:paraId="7BB09EA5" w14:textId="77777777" w:rsidR="00333FA9" w:rsidRPr="00333FA9" w:rsidRDefault="00333FA9" w:rsidP="00333FA9">
      <w:pPr>
        <w:numPr>
          <w:ilvl w:val="0"/>
          <w:numId w:val="11"/>
        </w:numPr>
      </w:pPr>
      <w:r w:rsidRPr="00333FA9">
        <w:t>How do they react when you say no?</w:t>
      </w:r>
    </w:p>
    <w:p w14:paraId="41C30FE2" w14:textId="77777777" w:rsidR="00333FA9" w:rsidRPr="00333FA9" w:rsidRDefault="00333FA9" w:rsidP="00333FA9">
      <w:pPr>
        <w:numPr>
          <w:ilvl w:val="0"/>
          <w:numId w:val="11"/>
        </w:numPr>
      </w:pPr>
      <w:r w:rsidRPr="00333FA9">
        <w:t>Do they isolate you from others?</w:t>
      </w:r>
    </w:p>
    <w:p w14:paraId="73453953" w14:textId="77777777" w:rsidR="00333FA9" w:rsidRPr="00333FA9" w:rsidRDefault="00333FA9" w:rsidP="00333FA9">
      <w:pPr>
        <w:numPr>
          <w:ilvl w:val="0"/>
          <w:numId w:val="11"/>
        </w:numPr>
      </w:pPr>
      <w:r w:rsidRPr="00333FA9">
        <w:t>How do they talk about people?</w:t>
      </w:r>
    </w:p>
    <w:p w14:paraId="41B51864" w14:textId="77777777" w:rsidR="00333FA9" w:rsidRPr="00333FA9" w:rsidRDefault="00333FA9" w:rsidP="00333FA9">
      <w:pPr>
        <w:numPr>
          <w:ilvl w:val="0"/>
          <w:numId w:val="11"/>
        </w:numPr>
      </w:pPr>
      <w:r w:rsidRPr="00333FA9">
        <w:t>Do they make you feel safe—or pressured?</w:t>
      </w:r>
    </w:p>
    <w:p w14:paraId="5B759C41" w14:textId="3BE2C04B" w:rsidR="00333FA9" w:rsidRPr="00333FA9" w:rsidRDefault="00333FA9" w:rsidP="00333FA9">
      <w:pPr>
        <w:numPr>
          <w:ilvl w:val="0"/>
          <w:numId w:val="11"/>
        </w:numPr>
      </w:pPr>
      <w:r w:rsidRPr="00333FA9">
        <w:t xml:space="preserve">Are they “too </w:t>
      </w:r>
      <w:r>
        <w:t>good to be true</w:t>
      </w:r>
      <w:r w:rsidR="00EC22E5">
        <w:t>”</w:t>
      </w:r>
      <w:r w:rsidRPr="00333FA9">
        <w:t>?</w:t>
      </w:r>
    </w:p>
    <w:p w14:paraId="3C0D7D62" w14:textId="77777777" w:rsidR="00D417C3" w:rsidRDefault="00D417C3" w:rsidP="00333FA9">
      <w:pPr>
        <w:rPr>
          <w:b/>
          <w:bCs/>
        </w:rPr>
      </w:pPr>
    </w:p>
    <w:p w14:paraId="49F840FB" w14:textId="6B5BCE7D" w:rsidR="00333FA9" w:rsidRPr="00333FA9" w:rsidRDefault="00333FA9" w:rsidP="00333FA9">
      <w:pPr>
        <w:rPr>
          <w:b/>
          <w:bCs/>
        </w:rPr>
      </w:pPr>
      <w:r w:rsidRPr="00333FA9">
        <w:rPr>
          <w:b/>
          <w:bCs/>
        </w:rPr>
        <w:t>Facilitator Tip:</w:t>
      </w:r>
      <w:r w:rsidRPr="00333FA9">
        <w:rPr>
          <w:b/>
          <w:bCs/>
        </w:rPr>
        <w:br/>
      </w:r>
      <w:r w:rsidR="00EC22E5">
        <w:t xml:space="preserve">Sometimes it isn’t clear if something is </w:t>
      </w:r>
      <w:r w:rsidRPr="00333FA9">
        <w:t>a red or green flag</w:t>
      </w:r>
      <w:r w:rsidR="00EC22E5">
        <w:t xml:space="preserve">, which is a helpful learning point. </w:t>
      </w:r>
      <w:r w:rsidRPr="00333FA9">
        <w:t>You can say:</w:t>
      </w:r>
      <w:r w:rsidRPr="00333FA9">
        <w:br/>
        <w:t xml:space="preserve">“Sometimes a sign could go either way—it depends on the context. Someone might be </w:t>
      </w:r>
      <w:r w:rsidR="00962F3D">
        <w:t xml:space="preserve">very </w:t>
      </w:r>
      <w:r w:rsidR="00962F3D" w:rsidRPr="00333FA9">
        <w:lastRenderedPageBreak/>
        <w:t>attentive</w:t>
      </w:r>
      <w:r w:rsidRPr="00333FA9">
        <w:t xml:space="preserve"> because they care, or they might be trying to overwhelm you. There’s no single answer; we’re looking for patterns.”</w:t>
      </w:r>
    </w:p>
    <w:p w14:paraId="67DEFB88" w14:textId="77777777" w:rsidR="00D417C3" w:rsidRDefault="00D417C3" w:rsidP="00333FA9">
      <w:pPr>
        <w:rPr>
          <w:b/>
          <w:bCs/>
        </w:rPr>
      </w:pPr>
    </w:p>
    <w:p w14:paraId="14068090" w14:textId="6C8FE8B3" w:rsidR="00333FA9" w:rsidRPr="00333FA9" w:rsidRDefault="00333FA9" w:rsidP="00333FA9">
      <w:pPr>
        <w:rPr>
          <w:b/>
          <w:bCs/>
        </w:rPr>
      </w:pPr>
      <w:r w:rsidRPr="00333FA9">
        <w:rPr>
          <w:b/>
          <w:bCs/>
        </w:rPr>
        <w:t>3. Connect to Online Experience</w:t>
      </w:r>
    </w:p>
    <w:p w14:paraId="587ED62C" w14:textId="77777777" w:rsidR="00333FA9" w:rsidRPr="00333FA9" w:rsidRDefault="00333FA9" w:rsidP="00333FA9">
      <w:r w:rsidRPr="00333FA9">
        <w:t>Transition to the online world by asking:</w:t>
      </w:r>
      <w:r w:rsidRPr="00333FA9">
        <w:br/>
        <w:t>“How might these signs show up when meeting people online?”</w:t>
      </w:r>
    </w:p>
    <w:p w14:paraId="14EB493A" w14:textId="77777777" w:rsidR="00333FA9" w:rsidRPr="00333FA9" w:rsidRDefault="00333FA9" w:rsidP="00333FA9">
      <w:r w:rsidRPr="00333FA9">
        <w:t>Explore with prompts like:</w:t>
      </w:r>
    </w:p>
    <w:p w14:paraId="2164F77C" w14:textId="77777777" w:rsidR="00333FA9" w:rsidRPr="00333FA9" w:rsidRDefault="00333FA9" w:rsidP="00333FA9">
      <w:pPr>
        <w:numPr>
          <w:ilvl w:val="0"/>
          <w:numId w:val="12"/>
        </w:numPr>
      </w:pPr>
      <w:r w:rsidRPr="00333FA9">
        <w:t>Do they ask for money before meeting?</w:t>
      </w:r>
    </w:p>
    <w:p w14:paraId="3977197A" w14:textId="77777777" w:rsidR="00333FA9" w:rsidRPr="00333FA9" w:rsidRDefault="00333FA9" w:rsidP="00333FA9">
      <w:pPr>
        <w:numPr>
          <w:ilvl w:val="0"/>
          <w:numId w:val="12"/>
        </w:numPr>
      </w:pPr>
      <w:r w:rsidRPr="00333FA9">
        <w:t>Do they ask for secrecy?</w:t>
      </w:r>
    </w:p>
    <w:p w14:paraId="29193776" w14:textId="77777777" w:rsidR="00333FA9" w:rsidRPr="00333FA9" w:rsidRDefault="00333FA9" w:rsidP="00333FA9">
      <w:pPr>
        <w:numPr>
          <w:ilvl w:val="0"/>
          <w:numId w:val="12"/>
        </w:numPr>
      </w:pPr>
      <w:r w:rsidRPr="00333FA9">
        <w:t>Can you video chat with them?</w:t>
      </w:r>
    </w:p>
    <w:p w14:paraId="4771710D" w14:textId="77777777" w:rsidR="00333FA9" w:rsidRPr="00333FA9" w:rsidRDefault="00333FA9" w:rsidP="00333FA9">
      <w:pPr>
        <w:numPr>
          <w:ilvl w:val="0"/>
          <w:numId w:val="12"/>
        </w:numPr>
      </w:pPr>
      <w:r w:rsidRPr="00333FA9">
        <w:t>Do they avoid meeting in person?</w:t>
      </w:r>
    </w:p>
    <w:p w14:paraId="660AC8A0" w14:textId="77777777" w:rsidR="00333FA9" w:rsidRPr="00333FA9" w:rsidRDefault="00333FA9" w:rsidP="00333FA9">
      <w:pPr>
        <w:numPr>
          <w:ilvl w:val="0"/>
          <w:numId w:val="12"/>
        </w:numPr>
      </w:pPr>
      <w:r w:rsidRPr="00333FA9">
        <w:t xml:space="preserve">Is </w:t>
      </w:r>
      <w:proofErr w:type="spellStart"/>
      <w:r w:rsidRPr="00333FA9">
        <w:t>their</w:t>
      </w:r>
      <w:proofErr w:type="spellEnd"/>
      <w:r w:rsidRPr="00333FA9">
        <w:t xml:space="preserve"> life full of drama or urgency?</w:t>
      </w:r>
    </w:p>
    <w:p w14:paraId="46BF9836" w14:textId="0DD36984" w:rsidR="00333FA9" w:rsidRPr="00333FA9" w:rsidRDefault="00333FA9" w:rsidP="00333FA9">
      <w:pPr>
        <w:rPr>
          <w:b/>
          <w:bCs/>
        </w:rPr>
      </w:pPr>
    </w:p>
    <w:p w14:paraId="3F3F33A6" w14:textId="57165562" w:rsidR="00333FA9" w:rsidRPr="00333FA9" w:rsidRDefault="00E04CDA" w:rsidP="00333FA9">
      <w:pPr>
        <w:rPr>
          <w:b/>
          <w:bCs/>
        </w:rPr>
      </w:pPr>
      <w:r>
        <w:rPr>
          <w:b/>
          <w:bCs/>
        </w:rPr>
        <w:t>Sum up briefly and l</w:t>
      </w:r>
      <w:r w:rsidR="00333FA9" w:rsidRPr="00333FA9">
        <w:rPr>
          <w:b/>
          <w:bCs/>
        </w:rPr>
        <w:t>ink to Fakebook Activity</w:t>
      </w:r>
    </w:p>
    <w:p w14:paraId="76AD2D96" w14:textId="206400BF" w:rsidR="00333FA9" w:rsidRPr="00333FA9" w:rsidRDefault="00333FA9" w:rsidP="00333FA9">
      <w:r w:rsidRPr="00333FA9">
        <w:t xml:space="preserve">Wrap up by </w:t>
      </w:r>
      <w:r w:rsidR="00E04CDA">
        <w:t>linking to the Fakebook activity</w:t>
      </w:r>
      <w:r w:rsidRPr="00333FA9">
        <w:t>:</w:t>
      </w:r>
      <w:r w:rsidR="00E04CDA">
        <w:t xml:space="preserve"> </w:t>
      </w:r>
      <w:r w:rsidRPr="00333FA9">
        <w:t>“You can often spot red and green flags just by looking at someone’s social media profile—before you even talk to them</w:t>
      </w:r>
      <w:r w:rsidR="00A6069C">
        <w:t>”</w:t>
      </w:r>
    </w:p>
    <w:p w14:paraId="68F2DDB0" w14:textId="77777777" w:rsidR="0023486F" w:rsidRPr="00333FA9" w:rsidRDefault="0023486F" w:rsidP="00333FA9"/>
    <w:sectPr w:rsidR="0023486F" w:rsidRPr="00333FA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4523" w14:textId="77777777" w:rsidR="00356147" w:rsidRDefault="00356147" w:rsidP="00424FA7">
      <w:pPr>
        <w:spacing w:after="0" w:line="240" w:lineRule="auto"/>
      </w:pPr>
      <w:r>
        <w:separator/>
      </w:r>
    </w:p>
  </w:endnote>
  <w:endnote w:type="continuationSeparator" w:id="0">
    <w:p w14:paraId="37990563" w14:textId="77777777" w:rsidR="00356147" w:rsidRDefault="00356147" w:rsidP="0042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A322" w14:textId="77777777" w:rsidR="00356147" w:rsidRDefault="00356147" w:rsidP="00424FA7">
      <w:pPr>
        <w:spacing w:after="0" w:line="240" w:lineRule="auto"/>
      </w:pPr>
      <w:r>
        <w:separator/>
      </w:r>
    </w:p>
  </w:footnote>
  <w:footnote w:type="continuationSeparator" w:id="0">
    <w:p w14:paraId="30F4963C" w14:textId="77777777" w:rsidR="00356147" w:rsidRDefault="00356147" w:rsidP="0042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429E" w14:textId="3C9770B7" w:rsidR="00424FA7" w:rsidRDefault="001A30FC">
    <w:pPr>
      <w:pStyle w:val="Header"/>
    </w:pPr>
    <w:r>
      <w:rPr>
        <w:noProof/>
      </w:rPr>
      <w:ptab w:relativeTo="margin" w:alignment="center" w:leader="none"/>
    </w:r>
    <w:r w:rsidR="00F76D15">
      <w:rPr>
        <w:noProof/>
      </w:rPr>
      <w:drawing>
        <wp:inline distT="0" distB="0" distL="0" distR="0" wp14:anchorId="47B7CB91" wp14:editId="150D5C37">
          <wp:extent cx="752400" cy="752400"/>
          <wp:effectExtent l="0" t="0" r="0" b="0"/>
          <wp:docPr id="824798443" name="Picture 2" descr="A purpl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798443" name="Picture 2" descr="A purpl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129F">
      <w:rPr>
        <w:noProof/>
      </w:rPr>
      <w:drawing>
        <wp:inline distT="0" distB="0" distL="0" distR="0" wp14:anchorId="1DA9F885" wp14:editId="2E255256">
          <wp:extent cx="2074680" cy="766800"/>
          <wp:effectExtent l="0" t="0" r="1905" b="0"/>
          <wp:docPr id="1619007109" name="Picture 1" descr="A jar with a plant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007109" name="Picture 1" descr="A jar with a plant i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68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624BC" w14:textId="31D81A2B" w:rsidR="007D129F" w:rsidRDefault="007D129F">
    <w:pPr>
      <w:pStyle w:val="Header"/>
    </w:pPr>
  </w:p>
  <w:p w14:paraId="52FEE647" w14:textId="77777777" w:rsidR="00424FA7" w:rsidRDefault="00424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6A6"/>
    <w:multiLevelType w:val="multilevel"/>
    <w:tmpl w:val="CD84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B726B"/>
    <w:multiLevelType w:val="multilevel"/>
    <w:tmpl w:val="8000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F284B"/>
    <w:multiLevelType w:val="multilevel"/>
    <w:tmpl w:val="2552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80091"/>
    <w:multiLevelType w:val="multilevel"/>
    <w:tmpl w:val="DEB0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82C7D"/>
    <w:multiLevelType w:val="hybridMultilevel"/>
    <w:tmpl w:val="EB2C9E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8123F0"/>
    <w:multiLevelType w:val="multilevel"/>
    <w:tmpl w:val="DBB4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81E09"/>
    <w:multiLevelType w:val="multilevel"/>
    <w:tmpl w:val="D74C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37A2E"/>
    <w:multiLevelType w:val="multilevel"/>
    <w:tmpl w:val="352E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C7BE0"/>
    <w:multiLevelType w:val="multilevel"/>
    <w:tmpl w:val="07F8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C1F72"/>
    <w:multiLevelType w:val="multilevel"/>
    <w:tmpl w:val="0F78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34383"/>
    <w:multiLevelType w:val="hybridMultilevel"/>
    <w:tmpl w:val="973A2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954C8"/>
    <w:multiLevelType w:val="multilevel"/>
    <w:tmpl w:val="9B74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099326">
    <w:abstractNumId w:val="3"/>
  </w:num>
  <w:num w:numId="2" w16cid:durableId="1866287759">
    <w:abstractNumId w:val="11"/>
  </w:num>
  <w:num w:numId="3" w16cid:durableId="514072476">
    <w:abstractNumId w:val="6"/>
  </w:num>
  <w:num w:numId="4" w16cid:durableId="764501911">
    <w:abstractNumId w:val="1"/>
  </w:num>
  <w:num w:numId="5" w16cid:durableId="121191438">
    <w:abstractNumId w:val="8"/>
  </w:num>
  <w:num w:numId="6" w16cid:durableId="1046103274">
    <w:abstractNumId w:val="7"/>
  </w:num>
  <w:num w:numId="7" w16cid:durableId="1094863029">
    <w:abstractNumId w:val="4"/>
  </w:num>
  <w:num w:numId="8" w16cid:durableId="293947758">
    <w:abstractNumId w:val="10"/>
  </w:num>
  <w:num w:numId="9" w16cid:durableId="1571964678">
    <w:abstractNumId w:val="0"/>
  </w:num>
  <w:num w:numId="10" w16cid:durableId="230122440">
    <w:abstractNumId w:val="5"/>
  </w:num>
  <w:num w:numId="11" w16cid:durableId="1968928645">
    <w:abstractNumId w:val="2"/>
  </w:num>
  <w:num w:numId="12" w16cid:durableId="443304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9A"/>
    <w:rsid w:val="00065474"/>
    <w:rsid w:val="0008709A"/>
    <w:rsid w:val="000B62B2"/>
    <w:rsid w:val="00161ABA"/>
    <w:rsid w:val="001A30FC"/>
    <w:rsid w:val="002150A9"/>
    <w:rsid w:val="00233C35"/>
    <w:rsid w:val="0023486F"/>
    <w:rsid w:val="002C0373"/>
    <w:rsid w:val="002E494A"/>
    <w:rsid w:val="00333FA9"/>
    <w:rsid w:val="00356147"/>
    <w:rsid w:val="00381C53"/>
    <w:rsid w:val="004057D5"/>
    <w:rsid w:val="00421982"/>
    <w:rsid w:val="00424FA7"/>
    <w:rsid w:val="00436399"/>
    <w:rsid w:val="00650A8B"/>
    <w:rsid w:val="007D129F"/>
    <w:rsid w:val="007D43E8"/>
    <w:rsid w:val="00812892"/>
    <w:rsid w:val="008B2D81"/>
    <w:rsid w:val="008E56D0"/>
    <w:rsid w:val="00961C17"/>
    <w:rsid w:val="00962F3D"/>
    <w:rsid w:val="00A4279A"/>
    <w:rsid w:val="00A6069C"/>
    <w:rsid w:val="00A76E34"/>
    <w:rsid w:val="00B12A3F"/>
    <w:rsid w:val="00B12B52"/>
    <w:rsid w:val="00BC5573"/>
    <w:rsid w:val="00C23744"/>
    <w:rsid w:val="00D0050F"/>
    <w:rsid w:val="00D13B34"/>
    <w:rsid w:val="00D417C3"/>
    <w:rsid w:val="00E04CDA"/>
    <w:rsid w:val="00E45A0A"/>
    <w:rsid w:val="00E53C5F"/>
    <w:rsid w:val="00EC22E5"/>
    <w:rsid w:val="00F346AE"/>
    <w:rsid w:val="00F67CD9"/>
    <w:rsid w:val="00F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6BFAF"/>
  <w15:chartTrackingRefBased/>
  <w15:docId w15:val="{8B061CC0-4504-4F48-B08A-45FE4A5F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0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A7"/>
  </w:style>
  <w:style w:type="paragraph" w:styleId="Footer">
    <w:name w:val="footer"/>
    <w:basedOn w:val="Normal"/>
    <w:link w:val="FooterChar"/>
    <w:uiPriority w:val="99"/>
    <w:unhideWhenUsed/>
    <w:rsid w:val="0042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a75cf-ff77-45b5-a02e-306ad2aa5fbe" xsi:nil="true"/>
    <lcf76f155ced4ddcb4097134ff3c332f xmlns="cb47266c-3909-4772-afcb-25635a26ab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6B7CD13CD78459BEB5C4ADD74D30C" ma:contentTypeVersion="18" ma:contentTypeDescription="Create a new document." ma:contentTypeScope="" ma:versionID="5cd10b9aad2fad0d8a86b273967d329e">
  <xsd:schema xmlns:xsd="http://www.w3.org/2001/XMLSchema" xmlns:xs="http://www.w3.org/2001/XMLSchema" xmlns:p="http://schemas.microsoft.com/office/2006/metadata/properties" xmlns:ns2="cb47266c-3909-4772-afcb-25635a26abb6" xmlns:ns3="06da75cf-ff77-45b5-a02e-306ad2aa5fbe" targetNamespace="http://schemas.microsoft.com/office/2006/metadata/properties" ma:root="true" ma:fieldsID="89e190975fe9d12ccfbdef8811d878f1" ns2:_="" ns3:_="">
    <xsd:import namespace="cb47266c-3909-4772-afcb-25635a26abb6"/>
    <xsd:import namespace="06da75cf-ff77-45b5-a02e-306ad2aa5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7266c-3909-4772-afcb-25635a26a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91d601-353c-44c0-ab47-4b153e1bc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a75cf-ff77-45b5-a02e-306ad2aa5fb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03df68-b6a1-4768-ad63-d09361b984c2}" ma:internalName="TaxCatchAll" ma:showField="CatchAllData" ma:web="06da75cf-ff77-45b5-a02e-306ad2aa5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98B05-2F96-4B12-8ECB-32F8579B8C66}">
  <ds:schemaRefs>
    <ds:schemaRef ds:uri="http://schemas.microsoft.com/office/2006/metadata/properties"/>
    <ds:schemaRef ds:uri="http://schemas.microsoft.com/office/infopath/2007/PartnerControls"/>
    <ds:schemaRef ds:uri="06da75cf-ff77-45b5-a02e-306ad2aa5fbe"/>
    <ds:schemaRef ds:uri="cb47266c-3909-4772-afcb-25635a26abb6"/>
  </ds:schemaRefs>
</ds:datastoreItem>
</file>

<file path=customXml/itemProps2.xml><?xml version="1.0" encoding="utf-8"?>
<ds:datastoreItem xmlns:ds="http://schemas.openxmlformats.org/officeDocument/2006/customXml" ds:itemID="{ED4298E5-0B13-4465-901A-84F9C908B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2B2F5-0413-4F2C-B0A3-1669107A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7266c-3909-4772-afcb-25635a26abb6"/>
    <ds:schemaRef ds:uri="06da75cf-ff77-45b5-a02e-306ad2aa5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Seddon</dc:creator>
  <cp:keywords/>
  <dc:description/>
  <cp:lastModifiedBy>Carrie Comfort</cp:lastModifiedBy>
  <cp:revision>11</cp:revision>
  <dcterms:created xsi:type="dcterms:W3CDTF">2025-05-06T14:23:00Z</dcterms:created>
  <dcterms:modified xsi:type="dcterms:W3CDTF">2025-05-14T13:05:00Z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0x0101006776B7CD13CD78459BEB5C4ADD74D30C</vt:lpwstr>
  </property>
  <property fmtid="{D5CDD505-2E9C-101B-9397-08002B2CF9AE}" pid="3" name="MediaServiceImageTags">
    <vt:lpwstr/>
  </property>
</Properties>
</file>